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C16856" w14:textId="77777777" w:rsidR="00FA2749" w:rsidRPr="00FA2749" w:rsidRDefault="00FA2749" w:rsidP="00FA2749">
      <w:pPr>
        <w:rPr>
          <w:b/>
          <w:bCs/>
          <w:lang w:eastAsia="en-GB"/>
        </w:rPr>
      </w:pPr>
      <w:r w:rsidRPr="00FA2749">
        <w:rPr>
          <w:b/>
          <w:bCs/>
          <w:lang w:eastAsia="en-GB"/>
        </w:rPr>
        <w:t>Input from the HIV Justice Network to the OHCHR report on the impact, results and state of implementation of societal enablers</w:t>
      </w:r>
    </w:p>
    <w:p w14:paraId="36CC720D" w14:textId="1F3F3E10" w:rsidR="00FA2749" w:rsidRPr="00FA2749" w:rsidRDefault="00FA2749" w:rsidP="00FA2749">
      <w:pPr>
        <w:spacing w:before="100" w:beforeAutospacing="1" w:after="100" w:afterAutospacing="1"/>
        <w:rPr>
          <w:rFonts w:ascii="Helvetica" w:eastAsia="Times New Roman" w:hAnsi="Helvetica" w:cs="Arial"/>
          <w:i/>
          <w:iCs/>
          <w:kern w:val="0"/>
          <w:sz w:val="20"/>
          <w:szCs w:val="20"/>
          <w:lang w:eastAsia="en-GB"/>
          <w14:ligatures w14:val="none"/>
        </w:rPr>
      </w:pPr>
      <w:r w:rsidRPr="00FA2749">
        <w:rPr>
          <w:rFonts w:ascii="Helvetica" w:eastAsia="Times New Roman" w:hAnsi="Helvetica" w:cs="Arial"/>
          <w:i/>
          <w:iCs/>
          <w:kern w:val="0"/>
          <w:sz w:val="20"/>
          <w:szCs w:val="20"/>
          <w:lang w:eastAsia="en-GB"/>
          <w14:ligatures w14:val="none"/>
        </w:rPr>
        <w:t xml:space="preserve">The HIV Justice Network (HJN) welcomes the opportunity to contribute to </w:t>
      </w:r>
      <w:r w:rsidR="00CA64AA">
        <w:rPr>
          <w:rFonts w:ascii="Helvetica" w:eastAsia="Times New Roman" w:hAnsi="Helvetica" w:cs="Arial"/>
          <w:i/>
          <w:iCs/>
          <w:kern w:val="0"/>
          <w:sz w:val="20"/>
          <w:szCs w:val="20"/>
          <w:lang w:eastAsia="en-GB"/>
          <w14:ligatures w14:val="none"/>
        </w:rPr>
        <w:t>this</w:t>
      </w:r>
      <w:r w:rsidRPr="00FA2749">
        <w:rPr>
          <w:rFonts w:ascii="Helvetica" w:eastAsia="Times New Roman" w:hAnsi="Helvetica" w:cs="Arial"/>
          <w:i/>
          <w:iCs/>
          <w:kern w:val="0"/>
          <w:sz w:val="20"/>
          <w:szCs w:val="20"/>
          <w:lang w:eastAsia="en-GB"/>
          <w14:ligatures w14:val="none"/>
        </w:rPr>
        <w:t xml:space="preserve"> report. This submission focuses on restrictive legal and policy frameworks that unfairly target people living with, at risk of, or affected by HIV, particularly HIV criminalisation and HIV-related travel and migration restrictions.</w:t>
      </w:r>
    </w:p>
    <w:p w14:paraId="5C402926" w14:textId="77777777" w:rsidR="00FA2749" w:rsidRPr="00FA2749" w:rsidRDefault="00FA2749" w:rsidP="00FA2749">
      <w:pPr>
        <w:rPr>
          <w:b/>
          <w:bCs/>
          <w:lang w:eastAsia="en-GB"/>
        </w:rPr>
      </w:pPr>
      <w:r w:rsidRPr="00FA2749">
        <w:rPr>
          <w:b/>
          <w:bCs/>
          <w:lang w:eastAsia="en-GB"/>
        </w:rPr>
        <w:t>HIV criminalisation remains a barrier to an enabling legal environment</w:t>
      </w:r>
    </w:p>
    <w:p w14:paraId="24777B23" w14:textId="77777777" w:rsidR="00FA2749" w:rsidRPr="00FA2749" w:rsidRDefault="00FA2749" w:rsidP="00FA2749">
      <w:pPr>
        <w:spacing w:before="100" w:beforeAutospacing="1" w:after="100" w:afterAutospacing="1"/>
        <w:rPr>
          <w:rFonts w:ascii="Helvetica" w:eastAsia="Times New Roman" w:hAnsi="Helvetica" w:cs="Arial"/>
          <w:kern w:val="0"/>
          <w:sz w:val="22"/>
          <w:szCs w:val="22"/>
          <w:lang w:eastAsia="en-GB"/>
          <w14:ligatures w14:val="none"/>
        </w:rPr>
      </w:pPr>
      <w:r w:rsidRPr="00FA2749">
        <w:rPr>
          <w:rFonts w:ascii="Helvetica" w:eastAsia="Times New Roman" w:hAnsi="Helvetica" w:cs="Arial"/>
          <w:kern w:val="0"/>
          <w:sz w:val="22"/>
          <w:szCs w:val="22"/>
          <w:lang w:eastAsia="en-GB"/>
          <w14:ligatures w14:val="none"/>
        </w:rPr>
        <w:t>Contemporary HIV science has transformed our understanding of HIV transmission, yet laws and practices have not consistently kept pace. HIV-specific criminal laws, alongside the use of general criminal, public health and administrative laws, continue to expose people living with HIV to investigation, prosecution, punishment, surveillance and other harms.[1]</w:t>
      </w:r>
    </w:p>
    <w:p w14:paraId="16BBA983" w14:textId="5683CE2D" w:rsidR="00FA2749" w:rsidRPr="00FA2749" w:rsidRDefault="00FA2749" w:rsidP="00FA2749">
      <w:pPr>
        <w:spacing w:before="100" w:beforeAutospacing="1" w:after="100" w:afterAutospacing="1"/>
        <w:rPr>
          <w:rFonts w:ascii="Helvetica" w:eastAsia="Times New Roman" w:hAnsi="Helvetica" w:cs="Arial"/>
          <w:kern w:val="0"/>
          <w:sz w:val="22"/>
          <w:szCs w:val="22"/>
          <w:lang w:eastAsia="en-GB"/>
          <w14:ligatures w14:val="none"/>
        </w:rPr>
      </w:pPr>
      <w:r w:rsidRPr="00FA2749">
        <w:rPr>
          <w:rFonts w:ascii="Helvetica" w:eastAsia="Times New Roman" w:hAnsi="Helvetica" w:cs="Arial"/>
          <w:kern w:val="0"/>
          <w:sz w:val="22"/>
          <w:szCs w:val="22"/>
          <w:lang w:eastAsia="en-GB"/>
          <w14:ligatures w14:val="none"/>
        </w:rPr>
        <w:t xml:space="preserve">There has nevertheless been significant progress. Over the past decade, 50 jurisdictions across 28 countries have moved towards HIV decriminalisation through legislative reform, constitutional and supreme court decisions, and updated prosecutorial guidance.[2] However, progress remains uneven. </w:t>
      </w:r>
      <w:r w:rsidR="00CA64AA" w:rsidRPr="00CA64AA">
        <w:rPr>
          <w:rFonts w:ascii="Helvetica" w:eastAsia="Times New Roman" w:hAnsi="Helvetica" w:cs="Arial"/>
          <w:kern w:val="0"/>
          <w:sz w:val="22"/>
          <w:szCs w:val="22"/>
          <w:lang w:eastAsia="en-GB"/>
          <w14:ligatures w14:val="none"/>
        </w:rPr>
        <w:t>HJN documented 150 reported cases of HIV criminalisation between 1 June 2025 and 15 June 2026</w:t>
      </w:r>
      <w:r w:rsidRPr="00FA2749">
        <w:rPr>
          <w:rFonts w:ascii="Helvetica" w:eastAsia="Times New Roman" w:hAnsi="Helvetica" w:cs="Arial"/>
          <w:kern w:val="0"/>
          <w:sz w:val="22"/>
          <w:szCs w:val="22"/>
          <w:lang w:eastAsia="en-GB"/>
          <w14:ligatures w14:val="none"/>
        </w:rPr>
        <w:t>, with reported cases increasing since 2022. These findings illustrate the persistent gap between advances in HIV science, legal reform and implementation.[1]</w:t>
      </w:r>
    </w:p>
    <w:p w14:paraId="3862B81E" w14:textId="77777777" w:rsidR="00FA2749" w:rsidRPr="00FA2749" w:rsidRDefault="00FA2749" w:rsidP="00FA2749">
      <w:pPr>
        <w:rPr>
          <w:b/>
          <w:bCs/>
          <w:lang w:eastAsia="en-GB"/>
        </w:rPr>
      </w:pPr>
      <w:r w:rsidRPr="00FA2749">
        <w:rPr>
          <w:b/>
          <w:bCs/>
          <w:lang w:eastAsia="en-GB"/>
        </w:rPr>
        <w:t>Legal reform alone is insufficient</w:t>
      </w:r>
    </w:p>
    <w:p w14:paraId="3E3E3336" w14:textId="77777777" w:rsidR="00FA2749" w:rsidRPr="00FA2749" w:rsidRDefault="00FA2749" w:rsidP="00FA2749">
      <w:pPr>
        <w:spacing w:before="100" w:beforeAutospacing="1" w:after="100" w:afterAutospacing="1"/>
        <w:rPr>
          <w:rFonts w:ascii="Helvetica" w:eastAsia="Times New Roman" w:hAnsi="Helvetica" w:cs="Arial"/>
          <w:kern w:val="0"/>
          <w:sz w:val="22"/>
          <w:szCs w:val="22"/>
          <w:lang w:eastAsia="en-GB"/>
          <w14:ligatures w14:val="none"/>
        </w:rPr>
      </w:pPr>
      <w:r w:rsidRPr="00FA2749">
        <w:rPr>
          <w:rFonts w:ascii="Helvetica" w:eastAsia="Times New Roman" w:hAnsi="Helvetica" w:cs="Arial"/>
          <w:kern w:val="0"/>
          <w:sz w:val="22"/>
          <w:szCs w:val="22"/>
          <w:lang w:eastAsia="en-GB"/>
          <w14:ligatures w14:val="none"/>
        </w:rPr>
        <w:t>Repealing or narrowing HIV-specific offences does not necessarily end criminalisation. Prosecutions may continue under general criminal laws or through coercive public health and administrative powers. Effective implementation therefore requires monitoring not only legislation, but also how police, prosecutors, courts and public health authorities apply it.</w:t>
      </w:r>
    </w:p>
    <w:p w14:paraId="733F7010" w14:textId="77777777" w:rsidR="00FA2749" w:rsidRPr="00FA2749" w:rsidRDefault="00FA2749" w:rsidP="00FA2749">
      <w:pPr>
        <w:spacing w:before="100" w:beforeAutospacing="1" w:after="100" w:afterAutospacing="1"/>
        <w:rPr>
          <w:rFonts w:ascii="Helvetica" w:eastAsia="Times New Roman" w:hAnsi="Helvetica" w:cs="Arial"/>
          <w:kern w:val="0"/>
          <w:sz w:val="22"/>
          <w:szCs w:val="22"/>
          <w:lang w:eastAsia="en-GB"/>
          <w14:ligatures w14:val="none"/>
        </w:rPr>
      </w:pPr>
      <w:r w:rsidRPr="00FA2749">
        <w:rPr>
          <w:rFonts w:ascii="Helvetica" w:eastAsia="Times New Roman" w:hAnsi="Helvetica" w:cs="Arial"/>
          <w:kern w:val="0"/>
          <w:sz w:val="22"/>
          <w:szCs w:val="22"/>
          <w:lang w:eastAsia="en-GB"/>
          <w14:ligatures w14:val="none"/>
        </w:rPr>
        <w:t xml:space="preserve">HJN's 2026 </w:t>
      </w:r>
      <w:r w:rsidRPr="00FA2749">
        <w:rPr>
          <w:rFonts w:ascii="Helvetica" w:eastAsia="Times New Roman" w:hAnsi="Helvetica" w:cs="Arial"/>
          <w:i/>
          <w:iCs/>
          <w:kern w:val="0"/>
          <w:sz w:val="22"/>
          <w:szCs w:val="22"/>
          <w:lang w:eastAsia="en-GB"/>
          <w14:ligatures w14:val="none"/>
        </w:rPr>
        <w:t>Guidance on Good Practices in HIV Decriminalisation</w:t>
      </w:r>
      <w:r w:rsidRPr="00FA2749">
        <w:rPr>
          <w:rFonts w:ascii="Helvetica" w:eastAsia="Times New Roman" w:hAnsi="Helvetica" w:cs="Arial"/>
          <w:kern w:val="0"/>
          <w:sz w:val="22"/>
          <w:szCs w:val="22"/>
          <w:lang w:eastAsia="en-GB"/>
          <w14:ligatures w14:val="none"/>
        </w:rPr>
        <w:t xml:space="preserve"> recommends monitoring arrests, investigations, charges and case outcomes, identifying alternative laws that reproduce the effects of repealed provisions, and establishing safeguards against regression.[3]</w:t>
      </w:r>
    </w:p>
    <w:p w14:paraId="63BB00A9" w14:textId="29F3DD55" w:rsidR="00FA2749" w:rsidRPr="00FA2749" w:rsidRDefault="00FA2749" w:rsidP="00FA2749">
      <w:pPr>
        <w:spacing w:before="100" w:beforeAutospacing="1" w:after="100" w:afterAutospacing="1"/>
        <w:rPr>
          <w:rFonts w:ascii="Helvetica" w:eastAsia="Times New Roman" w:hAnsi="Helvetica" w:cs="Arial"/>
          <w:kern w:val="0"/>
          <w:sz w:val="22"/>
          <w:szCs w:val="22"/>
          <w:lang w:eastAsia="en-GB"/>
          <w14:ligatures w14:val="none"/>
        </w:rPr>
      </w:pPr>
      <w:r w:rsidRPr="00FA2749">
        <w:rPr>
          <w:rFonts w:ascii="Helvetica" w:eastAsia="Times New Roman" w:hAnsi="Helvetica" w:cs="Arial"/>
          <w:kern w:val="0"/>
          <w:sz w:val="22"/>
          <w:szCs w:val="22"/>
          <w:lang w:eastAsia="en-GB"/>
          <w14:ligatures w14:val="none"/>
        </w:rPr>
        <w:t>Implementation must also reflect contemporary science and human rights standards. HIV non-disclosure, perceived or potential exposure, and unintentional transmission should not attract criminal liability. Where criminal liability remains, it should be limited to rare cases involving intentional and actual transmission.[3]</w:t>
      </w:r>
    </w:p>
    <w:p w14:paraId="18152DFC" w14:textId="77777777" w:rsidR="00FA2749" w:rsidRPr="00FA2749" w:rsidRDefault="00FA2749" w:rsidP="00FA2749">
      <w:pPr>
        <w:rPr>
          <w:b/>
          <w:bCs/>
          <w:lang w:eastAsia="en-GB"/>
        </w:rPr>
      </w:pPr>
      <w:r w:rsidRPr="00FA2749">
        <w:rPr>
          <w:b/>
          <w:bCs/>
          <w:lang w:eastAsia="en-GB"/>
        </w:rPr>
        <w:t>HIV-related travel and migration restrictions</w:t>
      </w:r>
    </w:p>
    <w:p w14:paraId="7F91E72C" w14:textId="77777777" w:rsidR="00FA2749" w:rsidRPr="00FA2749" w:rsidRDefault="00FA2749" w:rsidP="00FA2749">
      <w:pPr>
        <w:spacing w:before="100" w:beforeAutospacing="1" w:after="100" w:afterAutospacing="1"/>
        <w:rPr>
          <w:rFonts w:ascii="Helvetica" w:eastAsia="Times New Roman" w:hAnsi="Helvetica" w:cs="Arial"/>
          <w:kern w:val="0"/>
          <w:sz w:val="22"/>
          <w:szCs w:val="22"/>
          <w:lang w:eastAsia="en-GB"/>
          <w14:ligatures w14:val="none"/>
        </w:rPr>
      </w:pPr>
      <w:r w:rsidRPr="00FA2749">
        <w:rPr>
          <w:rFonts w:ascii="Helvetica" w:eastAsia="Times New Roman" w:hAnsi="Helvetica" w:cs="Arial"/>
          <w:kern w:val="0"/>
          <w:sz w:val="22"/>
          <w:szCs w:val="22"/>
          <w:lang w:eastAsia="en-GB"/>
          <w14:ligatures w14:val="none"/>
        </w:rPr>
        <w:t>HIV-related travel and migration restrictions are another form of discriminatory legal and policy framework. They can restrict freedom of movement, undermine privacy and confidentiality, reinforce stigma and limit opportunities to travel, work, study or settle abroad.</w:t>
      </w:r>
    </w:p>
    <w:p w14:paraId="1B5E7FE4" w14:textId="77777777" w:rsidR="00FA2749" w:rsidRPr="00FA2749" w:rsidRDefault="00FA2749" w:rsidP="00FA2749">
      <w:pPr>
        <w:spacing w:before="100" w:beforeAutospacing="1" w:after="100" w:afterAutospacing="1"/>
        <w:rPr>
          <w:rFonts w:ascii="Helvetica" w:eastAsia="Times New Roman" w:hAnsi="Helvetica" w:cs="Arial"/>
          <w:kern w:val="0"/>
          <w:sz w:val="22"/>
          <w:szCs w:val="22"/>
          <w:lang w:eastAsia="en-GB"/>
          <w14:ligatures w14:val="none"/>
        </w:rPr>
      </w:pPr>
      <w:r w:rsidRPr="00FA2749">
        <w:rPr>
          <w:rFonts w:ascii="Helvetica" w:eastAsia="Times New Roman" w:hAnsi="Helvetica" w:cs="Arial"/>
          <w:kern w:val="0"/>
          <w:sz w:val="22"/>
          <w:szCs w:val="22"/>
          <w:lang w:eastAsia="en-GB"/>
          <w14:ligatures w14:val="none"/>
        </w:rPr>
        <w:t>HJN analysis presented at AIDS 2026 identified 49 jurisdictions maintaining HIV-related migration restrictions: 33 with partial restrictions and 16 with severe restrictions.[4] Such barriers are increasingly embedded in broader immigration systems, including medical admissibility assessments, employment-related health screening, visa requirements and healthcare access rules, making discrimination less visible and more difficult to challenge.</w:t>
      </w:r>
    </w:p>
    <w:p w14:paraId="769CAA3D" w14:textId="4DA3AF4E" w:rsidR="00FA2749" w:rsidRPr="00FA2749" w:rsidRDefault="00FA2749" w:rsidP="00FA2749">
      <w:pPr>
        <w:spacing w:before="100" w:beforeAutospacing="1" w:after="100" w:afterAutospacing="1"/>
        <w:rPr>
          <w:rFonts w:ascii="Helvetica" w:eastAsia="Times New Roman" w:hAnsi="Helvetica" w:cs="Arial"/>
          <w:kern w:val="0"/>
          <w:sz w:val="22"/>
          <w:szCs w:val="22"/>
          <w:lang w:eastAsia="en-GB"/>
          <w14:ligatures w14:val="none"/>
        </w:rPr>
      </w:pPr>
      <w:r w:rsidRPr="00FA2749">
        <w:rPr>
          <w:rFonts w:ascii="Helvetica" w:eastAsia="Times New Roman" w:hAnsi="Helvetica" w:cs="Arial"/>
          <w:kern w:val="0"/>
          <w:sz w:val="22"/>
          <w:szCs w:val="22"/>
          <w:lang w:eastAsia="en-GB"/>
          <w14:ligatures w14:val="none"/>
        </w:rPr>
        <w:lastRenderedPageBreak/>
        <w:t>HIV status alone does not constitute a public health justification for restricting movement. States should eliminate discriminatory entry, stay and residence restrictions and mandatory or coercive HIV testing linked to travel or immigration. Monitoring should assess both formal restrictions and their practical effects.</w:t>
      </w:r>
    </w:p>
    <w:p w14:paraId="733BEC81" w14:textId="431A8366" w:rsidR="00FA2749" w:rsidRPr="00FA2749" w:rsidRDefault="00FA2749" w:rsidP="00FA2749">
      <w:pPr>
        <w:spacing w:before="100" w:beforeAutospacing="1" w:after="100" w:afterAutospacing="1"/>
        <w:rPr>
          <w:rFonts w:ascii="Helvetica" w:eastAsia="Times New Roman" w:hAnsi="Helvetica" w:cs="Arial"/>
          <w:kern w:val="0"/>
          <w:sz w:val="22"/>
          <w:szCs w:val="22"/>
          <w:lang w:eastAsia="en-GB"/>
          <w14:ligatures w14:val="none"/>
        </w:rPr>
      </w:pPr>
      <w:r w:rsidRPr="00FA2749">
        <w:rPr>
          <w:rFonts w:ascii="Helvetica" w:eastAsia="Times New Roman" w:hAnsi="Helvetica" w:cs="Arial"/>
          <w:kern w:val="0"/>
          <w:sz w:val="22"/>
          <w:szCs w:val="22"/>
          <w:lang w:eastAsia="en-GB"/>
          <w14:ligatures w14:val="none"/>
        </w:rPr>
        <w:t xml:space="preserve">We recommend that </w:t>
      </w:r>
      <w:r w:rsidRPr="00FA2749">
        <w:rPr>
          <w:rFonts w:ascii="Helvetica" w:eastAsia="Times New Roman" w:hAnsi="Helvetica" w:cs="Arial"/>
          <w:kern w:val="0"/>
          <w:sz w:val="22"/>
          <w:szCs w:val="22"/>
          <w:lang w:eastAsia="en-GB"/>
          <w14:ligatures w14:val="none"/>
        </w:rPr>
        <w:t>S</w:t>
      </w:r>
      <w:r w:rsidRPr="00FA2749">
        <w:rPr>
          <w:rFonts w:ascii="Helvetica" w:eastAsia="Times New Roman" w:hAnsi="Helvetica" w:cs="Arial"/>
          <w:kern w:val="0"/>
          <w:sz w:val="22"/>
          <w:szCs w:val="22"/>
          <w:lang w:eastAsia="en-GB"/>
          <w14:ligatures w14:val="none"/>
        </w:rPr>
        <w:t>tates:</w:t>
      </w:r>
    </w:p>
    <w:p w14:paraId="5CED04ED" w14:textId="3CB28439" w:rsidR="00FA2749" w:rsidRPr="00FA2749" w:rsidRDefault="00FA2749" w:rsidP="00FA2749">
      <w:pPr>
        <w:numPr>
          <w:ilvl w:val="0"/>
          <w:numId w:val="1"/>
        </w:numPr>
        <w:spacing w:before="100" w:beforeAutospacing="1" w:after="100" w:afterAutospacing="1"/>
        <w:rPr>
          <w:rFonts w:ascii="Helvetica" w:eastAsia="Times New Roman" w:hAnsi="Helvetica" w:cs="Arial"/>
          <w:kern w:val="0"/>
          <w:sz w:val="22"/>
          <w:szCs w:val="22"/>
          <w:lang w:eastAsia="en-GB"/>
          <w14:ligatures w14:val="none"/>
        </w:rPr>
      </w:pPr>
      <w:r w:rsidRPr="00FA2749">
        <w:rPr>
          <w:rFonts w:ascii="Helvetica" w:eastAsia="Times New Roman" w:hAnsi="Helvetica" w:cs="Arial"/>
          <w:b/>
          <w:bCs/>
          <w:kern w:val="0"/>
          <w:sz w:val="22"/>
          <w:szCs w:val="22"/>
          <w:lang w:eastAsia="en-GB"/>
          <w14:ligatures w14:val="none"/>
        </w:rPr>
        <w:t>Review and repeal HIV-specific criminal laws</w:t>
      </w:r>
      <w:r w:rsidR="00CA64AA">
        <w:rPr>
          <w:rFonts w:ascii="Helvetica" w:eastAsia="Times New Roman" w:hAnsi="Helvetica" w:cs="Arial"/>
          <w:kern w:val="0"/>
          <w:sz w:val="22"/>
          <w:szCs w:val="22"/>
          <w:lang w:eastAsia="en-GB"/>
          <w14:ligatures w14:val="none"/>
        </w:rPr>
        <w:t xml:space="preserve"> </w:t>
      </w:r>
      <w:r w:rsidRPr="00FA2749">
        <w:rPr>
          <w:rFonts w:ascii="Helvetica" w:eastAsia="Times New Roman" w:hAnsi="Helvetica" w:cs="Arial"/>
          <w:kern w:val="0"/>
          <w:sz w:val="22"/>
          <w:szCs w:val="22"/>
          <w:lang w:eastAsia="en-GB"/>
          <w14:ligatures w14:val="none"/>
        </w:rPr>
        <w:t>and prevent the substitution of general criminal offences that reproduce their effects.</w:t>
      </w:r>
    </w:p>
    <w:p w14:paraId="0BE2DFE0" w14:textId="77777777" w:rsidR="00FA2749" w:rsidRPr="00FA2749" w:rsidRDefault="00FA2749" w:rsidP="00FA2749">
      <w:pPr>
        <w:numPr>
          <w:ilvl w:val="0"/>
          <w:numId w:val="1"/>
        </w:numPr>
        <w:spacing w:before="100" w:beforeAutospacing="1" w:after="100" w:afterAutospacing="1"/>
        <w:rPr>
          <w:rFonts w:ascii="Helvetica" w:eastAsia="Times New Roman" w:hAnsi="Helvetica" w:cs="Arial"/>
          <w:kern w:val="0"/>
          <w:sz w:val="22"/>
          <w:szCs w:val="22"/>
          <w:lang w:eastAsia="en-GB"/>
          <w14:ligatures w14:val="none"/>
        </w:rPr>
      </w:pPr>
      <w:r w:rsidRPr="00FA2749">
        <w:rPr>
          <w:rFonts w:ascii="Helvetica" w:eastAsia="Times New Roman" w:hAnsi="Helvetica" w:cs="Arial"/>
          <w:b/>
          <w:bCs/>
          <w:kern w:val="0"/>
          <w:sz w:val="22"/>
          <w:szCs w:val="22"/>
          <w:lang w:eastAsia="en-GB"/>
          <w14:ligatures w14:val="none"/>
        </w:rPr>
        <w:t>Monitor implementation and enforcement</w:t>
      </w:r>
      <w:r w:rsidRPr="00FA2749">
        <w:rPr>
          <w:rFonts w:ascii="Helvetica" w:eastAsia="Times New Roman" w:hAnsi="Helvetica" w:cs="Arial"/>
          <w:kern w:val="0"/>
          <w:sz w:val="22"/>
          <w:szCs w:val="22"/>
          <w:lang w:eastAsia="en-GB"/>
          <w14:ligatures w14:val="none"/>
        </w:rPr>
        <w:t>, including arrests, investigations, prosecutions and case outcomes, to assess whether legal reforms are effective in practice.</w:t>
      </w:r>
    </w:p>
    <w:p w14:paraId="19B35DCF" w14:textId="618549EE" w:rsidR="00FA2749" w:rsidRPr="00FA2749" w:rsidRDefault="00FA2749" w:rsidP="00FA2749">
      <w:pPr>
        <w:numPr>
          <w:ilvl w:val="0"/>
          <w:numId w:val="1"/>
        </w:numPr>
        <w:spacing w:before="100" w:beforeAutospacing="1" w:after="100" w:afterAutospacing="1"/>
        <w:rPr>
          <w:rFonts w:ascii="Helvetica" w:eastAsia="Times New Roman" w:hAnsi="Helvetica" w:cs="Arial"/>
          <w:kern w:val="0"/>
          <w:sz w:val="22"/>
          <w:szCs w:val="22"/>
          <w:lang w:eastAsia="en-GB"/>
          <w14:ligatures w14:val="none"/>
        </w:rPr>
      </w:pPr>
      <w:r w:rsidRPr="00FA2749">
        <w:rPr>
          <w:rFonts w:ascii="Helvetica" w:eastAsia="Times New Roman" w:hAnsi="Helvetica" w:cs="Arial"/>
          <w:b/>
          <w:bCs/>
          <w:kern w:val="0"/>
          <w:sz w:val="22"/>
          <w:szCs w:val="22"/>
          <w:lang w:eastAsia="en-GB"/>
          <w14:ligatures w14:val="none"/>
        </w:rPr>
        <w:t>Align HIV-related criminal, public health and administrative measures with contemporary science and human rights</w:t>
      </w:r>
      <w:r w:rsidRPr="00FA2749">
        <w:rPr>
          <w:rFonts w:ascii="Helvetica" w:eastAsia="Times New Roman" w:hAnsi="Helvetica" w:cs="Arial"/>
          <w:kern w:val="0"/>
          <w:sz w:val="22"/>
          <w:szCs w:val="22"/>
          <w:lang w:eastAsia="en-GB"/>
          <w14:ligatures w14:val="none"/>
        </w:rPr>
        <w:t>, including</w:t>
      </w:r>
      <w:r w:rsidR="00CA64AA">
        <w:rPr>
          <w:rFonts w:ascii="Helvetica" w:eastAsia="Times New Roman" w:hAnsi="Helvetica" w:cs="Arial"/>
          <w:kern w:val="0"/>
          <w:sz w:val="22"/>
          <w:szCs w:val="22"/>
          <w:lang w:eastAsia="en-GB"/>
          <w14:ligatures w14:val="none"/>
        </w:rPr>
        <w:t>, but not limited to,</w:t>
      </w:r>
      <w:r w:rsidRPr="00FA2749">
        <w:rPr>
          <w:rFonts w:ascii="Helvetica" w:eastAsia="Times New Roman" w:hAnsi="Helvetica" w:cs="Arial"/>
          <w:kern w:val="0"/>
          <w:sz w:val="22"/>
          <w:szCs w:val="22"/>
          <w:lang w:eastAsia="en-GB"/>
          <w14:ligatures w14:val="none"/>
        </w:rPr>
        <w:t xml:space="preserve"> recognition of </w:t>
      </w:r>
      <w:r w:rsidR="00CA64AA">
        <w:rPr>
          <w:rFonts w:ascii="Helvetica" w:eastAsia="Times New Roman" w:hAnsi="Helvetica" w:cs="Arial"/>
          <w:kern w:val="0"/>
          <w:sz w:val="22"/>
          <w:szCs w:val="22"/>
          <w:lang w:eastAsia="en-GB"/>
          <w14:ligatures w14:val="none"/>
        </w:rPr>
        <w:t>the prevention benefit of treatment</w:t>
      </w:r>
      <w:r w:rsidRPr="00FA2749">
        <w:rPr>
          <w:rFonts w:ascii="Helvetica" w:eastAsia="Times New Roman" w:hAnsi="Helvetica" w:cs="Arial"/>
          <w:kern w:val="0"/>
          <w:sz w:val="22"/>
          <w:szCs w:val="22"/>
          <w:lang w:eastAsia="en-GB"/>
          <w14:ligatures w14:val="none"/>
        </w:rPr>
        <w:t>.</w:t>
      </w:r>
    </w:p>
    <w:p w14:paraId="112281FA" w14:textId="20FAE834" w:rsidR="00FA2749" w:rsidRPr="00FA2749" w:rsidRDefault="00FA2749" w:rsidP="00FA2749">
      <w:pPr>
        <w:numPr>
          <w:ilvl w:val="0"/>
          <w:numId w:val="1"/>
        </w:numPr>
        <w:spacing w:before="100" w:beforeAutospacing="1" w:after="100" w:afterAutospacing="1"/>
        <w:rPr>
          <w:rFonts w:ascii="Helvetica" w:eastAsia="Times New Roman" w:hAnsi="Helvetica" w:cs="Arial"/>
          <w:kern w:val="0"/>
          <w:sz w:val="22"/>
          <w:szCs w:val="22"/>
          <w:lang w:eastAsia="en-GB"/>
          <w14:ligatures w14:val="none"/>
        </w:rPr>
      </w:pPr>
      <w:r w:rsidRPr="00FA2749">
        <w:rPr>
          <w:rFonts w:ascii="Helvetica" w:eastAsia="Times New Roman" w:hAnsi="Helvetica" w:cs="Arial"/>
          <w:b/>
          <w:bCs/>
          <w:kern w:val="0"/>
          <w:sz w:val="22"/>
          <w:szCs w:val="22"/>
          <w:lang w:eastAsia="en-GB"/>
          <w14:ligatures w14:val="none"/>
        </w:rPr>
        <w:t>Establish safeguards against regression</w:t>
      </w:r>
      <w:r w:rsidRPr="00FA2749">
        <w:rPr>
          <w:rFonts w:ascii="Helvetica" w:eastAsia="Times New Roman" w:hAnsi="Helvetica" w:cs="Arial"/>
          <w:kern w:val="0"/>
          <w:sz w:val="22"/>
          <w:szCs w:val="22"/>
          <w:lang w:eastAsia="en-GB"/>
          <w14:ligatures w14:val="none"/>
        </w:rPr>
        <w:t>, including post-legislative review, institutional oversight and transparent monitoring.</w:t>
      </w:r>
    </w:p>
    <w:p w14:paraId="73E11B00" w14:textId="77777777" w:rsidR="00FA2749" w:rsidRPr="00FA2749" w:rsidRDefault="00FA2749" w:rsidP="00FA2749">
      <w:pPr>
        <w:numPr>
          <w:ilvl w:val="0"/>
          <w:numId w:val="1"/>
        </w:numPr>
        <w:spacing w:before="100" w:beforeAutospacing="1" w:after="100" w:afterAutospacing="1"/>
        <w:rPr>
          <w:rFonts w:ascii="Helvetica" w:eastAsia="Times New Roman" w:hAnsi="Helvetica" w:cs="Arial"/>
          <w:kern w:val="0"/>
          <w:sz w:val="22"/>
          <w:szCs w:val="22"/>
          <w:lang w:eastAsia="en-GB"/>
          <w14:ligatures w14:val="none"/>
        </w:rPr>
      </w:pPr>
      <w:r w:rsidRPr="00FA2749">
        <w:rPr>
          <w:rFonts w:ascii="Helvetica" w:eastAsia="Times New Roman" w:hAnsi="Helvetica" w:cs="Arial"/>
          <w:b/>
          <w:bCs/>
          <w:kern w:val="0"/>
          <w:sz w:val="22"/>
          <w:szCs w:val="22"/>
          <w:lang w:eastAsia="en-GB"/>
          <w14:ligatures w14:val="none"/>
        </w:rPr>
        <w:t>Meaningfully involve people living with HIV and affected communities</w:t>
      </w:r>
      <w:r w:rsidRPr="00FA2749">
        <w:rPr>
          <w:rFonts w:ascii="Helvetica" w:eastAsia="Times New Roman" w:hAnsi="Helvetica" w:cs="Arial"/>
          <w:kern w:val="0"/>
          <w:sz w:val="22"/>
          <w:szCs w:val="22"/>
          <w:lang w:eastAsia="en-GB"/>
          <w14:ligatures w14:val="none"/>
        </w:rPr>
        <w:t xml:space="preserve"> in legal reform, implementation, monitoring and oversight, including through shared decision-making and accountability.</w:t>
      </w:r>
    </w:p>
    <w:p w14:paraId="1DD5BE45" w14:textId="77777777" w:rsidR="00FA2749" w:rsidRPr="00FA2749" w:rsidRDefault="00FA2749" w:rsidP="00FA2749">
      <w:pPr>
        <w:numPr>
          <w:ilvl w:val="0"/>
          <w:numId w:val="1"/>
        </w:numPr>
        <w:spacing w:before="100" w:beforeAutospacing="1" w:after="100" w:afterAutospacing="1"/>
        <w:rPr>
          <w:rFonts w:ascii="Helvetica" w:eastAsia="Times New Roman" w:hAnsi="Helvetica" w:cs="Arial"/>
          <w:kern w:val="0"/>
          <w:sz w:val="22"/>
          <w:szCs w:val="22"/>
          <w:lang w:eastAsia="en-GB"/>
          <w14:ligatures w14:val="none"/>
        </w:rPr>
      </w:pPr>
      <w:r w:rsidRPr="00FA2749">
        <w:rPr>
          <w:rFonts w:ascii="Helvetica" w:eastAsia="Times New Roman" w:hAnsi="Helvetica" w:cs="Arial"/>
          <w:b/>
          <w:bCs/>
          <w:kern w:val="0"/>
          <w:sz w:val="22"/>
          <w:szCs w:val="22"/>
          <w:lang w:eastAsia="en-GB"/>
          <w14:ligatures w14:val="none"/>
        </w:rPr>
        <w:t>Repeal HIV-related travel and migration restrictions</w:t>
      </w:r>
      <w:r w:rsidRPr="00FA2749">
        <w:rPr>
          <w:rFonts w:ascii="Helvetica" w:eastAsia="Times New Roman" w:hAnsi="Helvetica" w:cs="Arial"/>
          <w:kern w:val="0"/>
          <w:sz w:val="22"/>
          <w:szCs w:val="22"/>
          <w:lang w:eastAsia="en-GB"/>
          <w14:ligatures w14:val="none"/>
        </w:rPr>
        <w:t xml:space="preserve"> and eliminate mandatory or coercive HIV testing linked to travel or immigration, ensuring that immigration procedures respect the rights, privacy and confidentiality of people living with HIV.</w:t>
      </w:r>
    </w:p>
    <w:p w14:paraId="2BF12CDE" w14:textId="77777777" w:rsidR="00FA2749" w:rsidRPr="00FA2749" w:rsidRDefault="00FA2749" w:rsidP="00FA2749">
      <w:pPr>
        <w:rPr>
          <w:b/>
          <w:bCs/>
          <w:lang w:eastAsia="en-GB"/>
        </w:rPr>
      </w:pPr>
      <w:r w:rsidRPr="00FA2749">
        <w:rPr>
          <w:b/>
          <w:bCs/>
          <w:lang w:eastAsia="en-GB"/>
        </w:rPr>
        <w:t>Conclusion</w:t>
      </w:r>
    </w:p>
    <w:p w14:paraId="5E530548" w14:textId="77777777" w:rsidR="00FA2749" w:rsidRPr="00FA2749" w:rsidRDefault="00FA2749" w:rsidP="00FA2749">
      <w:pPr>
        <w:spacing w:before="100" w:beforeAutospacing="1" w:after="100" w:afterAutospacing="1"/>
        <w:rPr>
          <w:rFonts w:ascii="Helvetica" w:eastAsia="Times New Roman" w:hAnsi="Helvetica" w:cs="Arial"/>
          <w:kern w:val="0"/>
          <w:sz w:val="22"/>
          <w:szCs w:val="22"/>
          <w:lang w:eastAsia="en-GB"/>
          <w14:ligatures w14:val="none"/>
        </w:rPr>
      </w:pPr>
      <w:r w:rsidRPr="00FA2749">
        <w:rPr>
          <w:rFonts w:ascii="Helvetica" w:eastAsia="Times New Roman" w:hAnsi="Helvetica" w:cs="Arial"/>
          <w:kern w:val="0"/>
          <w:sz w:val="22"/>
          <w:szCs w:val="22"/>
          <w:lang w:eastAsia="en-GB"/>
          <w14:ligatures w14:val="none"/>
        </w:rPr>
        <w:t>Reducing HIV criminalisation and eliminating discriminatory travel and migration restrictions are essential to an enabling legal environment for the HIV response. States' progress should be assessed not only by formal changes to laws and policies, but also by their implementation and effects on people's lives. Sustaining progress towards ending AIDS requires laws and practices that reflect contemporary HIV science, uphold human rights and ensure the meaningful participation of affected communities.</w:t>
      </w:r>
    </w:p>
    <w:p w14:paraId="31FE83AF" w14:textId="77777777" w:rsidR="00FA2749" w:rsidRPr="00FA2749" w:rsidRDefault="00FA2749" w:rsidP="00FA2749">
      <w:pPr>
        <w:rPr>
          <w:b/>
          <w:bCs/>
          <w:lang w:eastAsia="en-GB"/>
        </w:rPr>
      </w:pPr>
      <w:r w:rsidRPr="00FA2749">
        <w:rPr>
          <w:b/>
          <w:bCs/>
          <w:lang w:eastAsia="en-GB"/>
        </w:rPr>
        <w:t>References</w:t>
      </w:r>
    </w:p>
    <w:p w14:paraId="0C0E92F7" w14:textId="6DAB29CE" w:rsidR="00FA2749" w:rsidRPr="00FA2749" w:rsidRDefault="00FA2749" w:rsidP="00FA2749">
      <w:pPr>
        <w:spacing w:before="100" w:beforeAutospacing="1" w:after="100" w:afterAutospacing="1"/>
        <w:rPr>
          <w:rFonts w:ascii="Helvetica" w:eastAsia="Times New Roman" w:hAnsi="Helvetica" w:cs="Arial"/>
          <w:kern w:val="0"/>
          <w:sz w:val="20"/>
          <w:szCs w:val="20"/>
          <w:lang w:eastAsia="en-GB"/>
          <w14:ligatures w14:val="none"/>
        </w:rPr>
      </w:pPr>
      <w:r w:rsidRPr="00FA2749">
        <w:rPr>
          <w:rFonts w:ascii="Helvetica" w:eastAsia="Times New Roman" w:hAnsi="Helvetica" w:cs="Arial"/>
          <w:kern w:val="0"/>
          <w:sz w:val="20"/>
          <w:szCs w:val="20"/>
          <w:lang w:eastAsia="en-GB"/>
          <w14:ligatures w14:val="none"/>
        </w:rPr>
        <w:t xml:space="preserve">[1] Bernard EJ et al. </w:t>
      </w:r>
      <w:r w:rsidRPr="00FA2749">
        <w:rPr>
          <w:rFonts w:ascii="Helvetica" w:eastAsia="Times New Roman" w:hAnsi="Helvetica" w:cs="Arial"/>
          <w:i/>
          <w:iCs/>
          <w:kern w:val="0"/>
          <w:sz w:val="20"/>
          <w:szCs w:val="20"/>
          <w:lang w:eastAsia="en-GB"/>
          <w14:ligatures w14:val="none"/>
        </w:rPr>
        <w:t>Science, rights, and HIV on trial: Is rising HIV criminalisation part of a global anti-science / anti-rights resurgence?</w:t>
      </w:r>
      <w:r w:rsidRPr="00FA2749">
        <w:rPr>
          <w:rFonts w:ascii="Helvetica" w:eastAsia="Times New Roman" w:hAnsi="Helvetica" w:cs="Arial"/>
          <w:kern w:val="0"/>
          <w:sz w:val="20"/>
          <w:szCs w:val="20"/>
          <w:lang w:eastAsia="en-GB"/>
          <w14:ligatures w14:val="none"/>
        </w:rPr>
        <w:t xml:space="preserve"> AIDS 2026, </w:t>
      </w:r>
      <w:hyperlink r:id="rId5" w:history="1">
        <w:r w:rsidRPr="00CA64AA">
          <w:rPr>
            <w:rStyle w:val="Hyperlink"/>
            <w:rFonts w:ascii="Helvetica" w:eastAsia="Times New Roman" w:hAnsi="Helvetica" w:cs="Arial"/>
            <w:kern w:val="0"/>
            <w:sz w:val="20"/>
            <w:szCs w:val="20"/>
            <w:lang w:eastAsia="en-GB"/>
            <w14:ligatures w14:val="none"/>
          </w:rPr>
          <w:t>abstract WEPEF620</w:t>
        </w:r>
      </w:hyperlink>
      <w:r w:rsidRPr="00FA2749">
        <w:rPr>
          <w:rFonts w:ascii="Helvetica" w:eastAsia="Times New Roman" w:hAnsi="Helvetica" w:cs="Arial"/>
          <w:kern w:val="0"/>
          <w:sz w:val="20"/>
          <w:szCs w:val="20"/>
          <w:lang w:eastAsia="en-GB"/>
          <w14:ligatures w14:val="none"/>
        </w:rPr>
        <w:t>.</w:t>
      </w:r>
    </w:p>
    <w:p w14:paraId="2628BEA9" w14:textId="1AE18BDF" w:rsidR="00FA2749" w:rsidRPr="00FA2749" w:rsidRDefault="00FA2749" w:rsidP="00FA2749">
      <w:pPr>
        <w:spacing w:before="100" w:beforeAutospacing="1" w:after="100" w:afterAutospacing="1"/>
        <w:rPr>
          <w:rFonts w:ascii="Helvetica" w:eastAsia="Times New Roman" w:hAnsi="Helvetica" w:cs="Arial"/>
          <w:kern w:val="0"/>
          <w:sz w:val="20"/>
          <w:szCs w:val="20"/>
          <w:lang w:eastAsia="en-GB"/>
          <w14:ligatures w14:val="none"/>
        </w:rPr>
      </w:pPr>
      <w:r w:rsidRPr="00FA2749">
        <w:rPr>
          <w:rFonts w:ascii="Helvetica" w:eastAsia="Times New Roman" w:hAnsi="Helvetica" w:cs="Arial"/>
          <w:kern w:val="0"/>
          <w:sz w:val="20"/>
          <w:szCs w:val="20"/>
          <w:lang w:eastAsia="en-GB"/>
          <w14:ligatures w14:val="none"/>
        </w:rPr>
        <w:t xml:space="preserve">[2] Bernard EJ. </w:t>
      </w:r>
      <w:hyperlink r:id="rId6" w:history="1">
        <w:r w:rsidRPr="00CA64AA">
          <w:rPr>
            <w:rStyle w:val="Hyperlink"/>
            <w:rFonts w:ascii="Helvetica" w:eastAsia="Times New Roman" w:hAnsi="Helvetica" w:cs="Arial"/>
            <w:i/>
            <w:iCs/>
            <w:kern w:val="0"/>
            <w:sz w:val="20"/>
            <w:szCs w:val="20"/>
            <w:lang w:eastAsia="en-GB"/>
            <w14:ligatures w14:val="none"/>
          </w:rPr>
          <w:t>The next phase of HIV decriminalisation: closing th</w:t>
        </w:r>
        <w:r w:rsidRPr="00CA64AA">
          <w:rPr>
            <w:rStyle w:val="Hyperlink"/>
            <w:rFonts w:ascii="Helvetica" w:eastAsia="Times New Roman" w:hAnsi="Helvetica" w:cs="Arial"/>
            <w:i/>
            <w:iCs/>
            <w:kern w:val="0"/>
            <w:sz w:val="20"/>
            <w:szCs w:val="20"/>
            <w:lang w:eastAsia="en-GB"/>
            <w14:ligatures w14:val="none"/>
          </w:rPr>
          <w:t>e</w:t>
        </w:r>
        <w:r w:rsidRPr="00CA64AA">
          <w:rPr>
            <w:rStyle w:val="Hyperlink"/>
            <w:rFonts w:ascii="Helvetica" w:eastAsia="Times New Roman" w:hAnsi="Helvetica" w:cs="Arial"/>
            <w:i/>
            <w:iCs/>
            <w:kern w:val="0"/>
            <w:sz w:val="20"/>
            <w:szCs w:val="20"/>
            <w:lang w:eastAsia="en-GB"/>
            <w14:ligatures w14:val="none"/>
          </w:rPr>
          <w:t xml:space="preserve"> translation gap</w:t>
        </w:r>
      </w:hyperlink>
      <w:r w:rsidRPr="00FA2749">
        <w:rPr>
          <w:rFonts w:ascii="Helvetica" w:eastAsia="Times New Roman" w:hAnsi="Helvetica" w:cs="Arial"/>
          <w:i/>
          <w:iCs/>
          <w:kern w:val="0"/>
          <w:sz w:val="20"/>
          <w:szCs w:val="20"/>
          <w:lang w:eastAsia="en-GB"/>
          <w14:ligatures w14:val="none"/>
        </w:rPr>
        <w:t>.</w:t>
      </w:r>
      <w:r w:rsidRPr="00FA2749">
        <w:rPr>
          <w:rFonts w:ascii="Helvetica" w:eastAsia="Times New Roman" w:hAnsi="Helvetica" w:cs="Arial"/>
          <w:kern w:val="0"/>
          <w:sz w:val="20"/>
          <w:szCs w:val="20"/>
          <w:lang w:eastAsia="en-GB"/>
          <w14:ligatures w14:val="none"/>
        </w:rPr>
        <w:t xml:space="preserve"> HJN, 31 July 2026.</w:t>
      </w:r>
    </w:p>
    <w:p w14:paraId="04272454" w14:textId="77777777" w:rsidR="00FA2749" w:rsidRPr="00FA2749" w:rsidRDefault="00FA2749" w:rsidP="00FA2749">
      <w:pPr>
        <w:spacing w:before="100" w:beforeAutospacing="1" w:after="100" w:afterAutospacing="1"/>
        <w:rPr>
          <w:rFonts w:ascii="Helvetica" w:eastAsia="Times New Roman" w:hAnsi="Helvetica" w:cs="Arial"/>
          <w:kern w:val="0"/>
          <w:sz w:val="20"/>
          <w:szCs w:val="20"/>
          <w:lang w:eastAsia="en-GB"/>
          <w14:ligatures w14:val="none"/>
        </w:rPr>
      </w:pPr>
      <w:r w:rsidRPr="00FA2749">
        <w:rPr>
          <w:rFonts w:ascii="Helvetica" w:eastAsia="Times New Roman" w:hAnsi="Helvetica" w:cs="Arial"/>
          <w:kern w:val="0"/>
          <w:sz w:val="20"/>
          <w:szCs w:val="20"/>
          <w:lang w:eastAsia="en-GB"/>
          <w14:ligatures w14:val="none"/>
        </w:rPr>
        <w:t xml:space="preserve">[3] HIV Justice Network. </w:t>
      </w:r>
      <w:r w:rsidRPr="00FA2749">
        <w:rPr>
          <w:rFonts w:ascii="Helvetica" w:eastAsia="Times New Roman" w:hAnsi="Helvetica" w:cs="Arial"/>
          <w:i/>
          <w:iCs/>
          <w:kern w:val="0"/>
          <w:sz w:val="20"/>
          <w:szCs w:val="20"/>
          <w:lang w:eastAsia="en-GB"/>
          <w14:ligatures w14:val="none"/>
        </w:rPr>
        <w:t>Guidance on Good Practices in HIV Decriminalisation.</w:t>
      </w:r>
      <w:r w:rsidRPr="00FA2749">
        <w:rPr>
          <w:rFonts w:ascii="Helvetica" w:eastAsia="Times New Roman" w:hAnsi="Helvetica" w:cs="Arial"/>
          <w:kern w:val="0"/>
          <w:sz w:val="20"/>
          <w:szCs w:val="20"/>
          <w:lang w:eastAsia="en-GB"/>
          <w14:ligatures w14:val="none"/>
        </w:rPr>
        <w:t xml:space="preserve"> 2026. </w:t>
      </w:r>
      <w:hyperlink r:id="rId7" w:history="1">
        <w:r w:rsidRPr="00FA2749">
          <w:rPr>
            <w:rFonts w:ascii="Helvetica" w:eastAsia="Times New Roman" w:hAnsi="Helvetica" w:cs="Arial"/>
            <w:color w:val="0000FF"/>
            <w:kern w:val="0"/>
            <w:sz w:val="20"/>
            <w:szCs w:val="20"/>
            <w:u w:val="single"/>
            <w:lang w:eastAsia="en-GB"/>
            <w14:ligatures w14:val="none"/>
          </w:rPr>
          <w:t>https://www.hivjustice.net/publication/guidance</w:t>
        </w:r>
      </w:hyperlink>
    </w:p>
    <w:p w14:paraId="2FC040E9" w14:textId="14DF8E50" w:rsidR="00CA64AA" w:rsidRPr="00FA2749" w:rsidRDefault="00FA2749" w:rsidP="00FA2749">
      <w:pPr>
        <w:spacing w:before="100" w:beforeAutospacing="1" w:after="100" w:afterAutospacing="1"/>
        <w:rPr>
          <w:rFonts w:ascii="Helvetica" w:eastAsia="Times New Roman" w:hAnsi="Helvetica" w:cs="Arial"/>
          <w:kern w:val="0"/>
          <w:sz w:val="20"/>
          <w:szCs w:val="20"/>
          <w:lang w:eastAsia="en-GB"/>
          <w14:ligatures w14:val="none"/>
        </w:rPr>
      </w:pPr>
      <w:r w:rsidRPr="00FA2749">
        <w:rPr>
          <w:rFonts w:ascii="Helvetica" w:eastAsia="Times New Roman" w:hAnsi="Helvetica" w:cs="Arial"/>
          <w:kern w:val="0"/>
          <w:sz w:val="20"/>
          <w:szCs w:val="20"/>
          <w:lang w:eastAsia="en-GB"/>
          <w14:ligatures w14:val="none"/>
        </w:rPr>
        <w:t xml:space="preserve">[4] Varguez Villanueva S et al. </w:t>
      </w:r>
      <w:r w:rsidRPr="00FA2749">
        <w:rPr>
          <w:rFonts w:ascii="Helvetica" w:eastAsia="Times New Roman" w:hAnsi="Helvetica" w:cs="Arial"/>
          <w:i/>
          <w:iCs/>
          <w:kern w:val="0"/>
          <w:sz w:val="20"/>
          <w:szCs w:val="20"/>
          <w:lang w:eastAsia="en-GB"/>
          <w14:ligatures w14:val="none"/>
        </w:rPr>
        <w:t>Positive destinations or persistent barriers? Rethinking HIV-related travel restrictions.</w:t>
      </w:r>
      <w:r w:rsidRPr="00FA2749">
        <w:rPr>
          <w:rFonts w:ascii="Helvetica" w:eastAsia="Times New Roman" w:hAnsi="Helvetica" w:cs="Arial"/>
          <w:kern w:val="0"/>
          <w:sz w:val="20"/>
          <w:szCs w:val="20"/>
          <w:lang w:eastAsia="en-GB"/>
          <w14:ligatures w14:val="none"/>
        </w:rPr>
        <w:t xml:space="preserve"> AIDS 2026, </w:t>
      </w:r>
      <w:hyperlink r:id="rId8" w:history="1">
        <w:r w:rsidRPr="00CA64AA">
          <w:rPr>
            <w:rStyle w:val="Hyperlink"/>
            <w:rFonts w:ascii="Helvetica" w:eastAsia="Times New Roman" w:hAnsi="Helvetica" w:cs="Arial"/>
            <w:kern w:val="0"/>
            <w:sz w:val="20"/>
            <w:szCs w:val="20"/>
            <w:lang w:eastAsia="en-GB"/>
            <w14:ligatures w14:val="none"/>
          </w:rPr>
          <w:t>abstract THPEF618</w:t>
        </w:r>
      </w:hyperlink>
      <w:r w:rsidRPr="00FA2749">
        <w:rPr>
          <w:rFonts w:ascii="Helvetica" w:eastAsia="Times New Roman" w:hAnsi="Helvetica" w:cs="Arial"/>
          <w:kern w:val="0"/>
          <w:sz w:val="20"/>
          <w:szCs w:val="20"/>
          <w:lang w:eastAsia="en-GB"/>
          <w14:ligatures w14:val="none"/>
        </w:rPr>
        <w:t>.</w:t>
      </w:r>
    </w:p>
    <w:sectPr w:rsidR="00CA64AA" w:rsidRPr="00FA274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90C7006"/>
    <w:multiLevelType w:val="multilevel"/>
    <w:tmpl w:val="ABB609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4748883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749"/>
    <w:rsid w:val="002C6A09"/>
    <w:rsid w:val="003C2965"/>
    <w:rsid w:val="00475D3A"/>
    <w:rsid w:val="00CA64AA"/>
    <w:rsid w:val="00CB433D"/>
    <w:rsid w:val="00ED1308"/>
    <w:rsid w:val="00FA27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55CF3E0C"/>
  <w15:chartTrackingRefBased/>
  <w15:docId w15:val="{85365436-78A5-764D-B295-1D3C444D9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A27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A27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A27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A27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A27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A274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A274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A274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A274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27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A27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A27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A27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27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27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27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27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2749"/>
    <w:rPr>
      <w:rFonts w:eastAsiaTheme="majorEastAsia" w:cstheme="majorBidi"/>
      <w:color w:val="272727" w:themeColor="text1" w:themeTint="D8"/>
    </w:rPr>
  </w:style>
  <w:style w:type="paragraph" w:styleId="Title">
    <w:name w:val="Title"/>
    <w:basedOn w:val="Normal"/>
    <w:next w:val="Normal"/>
    <w:link w:val="TitleChar"/>
    <w:uiPriority w:val="10"/>
    <w:qFormat/>
    <w:rsid w:val="00FA274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27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274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A27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274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A2749"/>
    <w:rPr>
      <w:i/>
      <w:iCs/>
      <w:color w:val="404040" w:themeColor="text1" w:themeTint="BF"/>
    </w:rPr>
  </w:style>
  <w:style w:type="paragraph" w:styleId="ListParagraph">
    <w:name w:val="List Paragraph"/>
    <w:basedOn w:val="Normal"/>
    <w:uiPriority w:val="34"/>
    <w:qFormat/>
    <w:rsid w:val="00FA2749"/>
    <w:pPr>
      <w:ind w:left="720"/>
      <w:contextualSpacing/>
    </w:pPr>
  </w:style>
  <w:style w:type="character" w:styleId="IntenseEmphasis">
    <w:name w:val="Intense Emphasis"/>
    <w:basedOn w:val="DefaultParagraphFont"/>
    <w:uiPriority w:val="21"/>
    <w:qFormat/>
    <w:rsid w:val="00FA2749"/>
    <w:rPr>
      <w:i/>
      <w:iCs/>
      <w:color w:val="0F4761" w:themeColor="accent1" w:themeShade="BF"/>
    </w:rPr>
  </w:style>
  <w:style w:type="paragraph" w:styleId="IntenseQuote">
    <w:name w:val="Intense Quote"/>
    <w:basedOn w:val="Normal"/>
    <w:next w:val="Normal"/>
    <w:link w:val="IntenseQuoteChar"/>
    <w:uiPriority w:val="30"/>
    <w:qFormat/>
    <w:rsid w:val="00FA27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2749"/>
    <w:rPr>
      <w:i/>
      <w:iCs/>
      <w:color w:val="0F4761" w:themeColor="accent1" w:themeShade="BF"/>
    </w:rPr>
  </w:style>
  <w:style w:type="character" w:styleId="IntenseReference">
    <w:name w:val="Intense Reference"/>
    <w:basedOn w:val="DefaultParagraphFont"/>
    <w:uiPriority w:val="32"/>
    <w:qFormat/>
    <w:rsid w:val="00FA2749"/>
    <w:rPr>
      <w:b/>
      <w:bCs/>
      <w:smallCaps/>
      <w:color w:val="0F4761" w:themeColor="accent1" w:themeShade="BF"/>
      <w:spacing w:val="5"/>
    </w:rPr>
  </w:style>
  <w:style w:type="paragraph" w:styleId="NormalWeb">
    <w:name w:val="Normal (Web)"/>
    <w:basedOn w:val="Normal"/>
    <w:uiPriority w:val="99"/>
    <w:semiHidden/>
    <w:unhideWhenUsed/>
    <w:rsid w:val="00FA2749"/>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FA2749"/>
    <w:rPr>
      <w:i/>
      <w:iCs/>
    </w:rPr>
  </w:style>
  <w:style w:type="character" w:styleId="Strong">
    <w:name w:val="Strong"/>
    <w:basedOn w:val="DefaultParagraphFont"/>
    <w:uiPriority w:val="22"/>
    <w:qFormat/>
    <w:rsid w:val="00FA2749"/>
    <w:rPr>
      <w:b/>
      <w:bCs/>
    </w:rPr>
  </w:style>
  <w:style w:type="character" w:styleId="Hyperlink">
    <w:name w:val="Hyperlink"/>
    <w:basedOn w:val="DefaultParagraphFont"/>
    <w:uiPriority w:val="99"/>
    <w:unhideWhenUsed/>
    <w:rsid w:val="00FA2749"/>
    <w:rPr>
      <w:color w:val="0000FF"/>
      <w:u w:val="single"/>
    </w:rPr>
  </w:style>
  <w:style w:type="character" w:styleId="UnresolvedMention">
    <w:name w:val="Unresolved Mention"/>
    <w:basedOn w:val="DefaultParagraphFont"/>
    <w:uiPriority w:val="99"/>
    <w:semiHidden/>
    <w:unhideWhenUsed/>
    <w:rsid w:val="00CA64AA"/>
    <w:rPr>
      <w:color w:val="605E5C"/>
      <w:shd w:val="clear" w:color="auto" w:fill="E1DFDD"/>
    </w:rPr>
  </w:style>
  <w:style w:type="character" w:styleId="FollowedHyperlink">
    <w:name w:val="FollowedHyperlink"/>
    <w:basedOn w:val="DefaultParagraphFont"/>
    <w:uiPriority w:val="99"/>
    <w:semiHidden/>
    <w:unhideWhenUsed/>
    <w:rsid w:val="00CA64A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vjustice.net/wp-content/uploads/2026/07/THPEF618-Positive-Destinations-ONLINE.pdf" TargetMode="External"/><Relationship Id="rId3" Type="http://schemas.openxmlformats.org/officeDocument/2006/relationships/settings" Target="settings.xml"/><Relationship Id="rId7" Type="http://schemas.openxmlformats.org/officeDocument/2006/relationships/hyperlink" Target="https://www.hivjustice.net/publication/guida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hivjustice.net/news/the-next-phase-of-hiv-decriminalisation-closing-the-translation-gap/" TargetMode="External"/><Relationship Id="rId5" Type="http://schemas.openxmlformats.org/officeDocument/2006/relationships/hyperlink" Target="https://www.hivjustice.net/wp-content/uploads/2026/07/WEPEF620-Global-Trends-ONLINE.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902</Words>
  <Characters>5147</Characters>
  <Application>Microsoft Office Word</Application>
  <DocSecurity>0</DocSecurity>
  <Lines>42</Lines>
  <Paragraphs>12</Paragraphs>
  <ScaleCrop>false</ScaleCrop>
  <Company>HIV Justice Network</Company>
  <LinksUpToDate>false</LinksUpToDate>
  <CharactersWithSpaces>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Edwin J Bernard</dc:creator>
  <cp:keywords/>
  <dc:description/>
  <cp:lastModifiedBy>Edwin J Bernard</cp:lastModifiedBy>
  <cp:revision>2</cp:revision>
  <dcterms:created xsi:type="dcterms:W3CDTF">2026-10-28T16:02:00Z</dcterms:created>
  <dcterms:modified xsi:type="dcterms:W3CDTF">2026-10-28T16:20:00Z</dcterms:modified>
</cp:coreProperties>
</file>